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09E" w14:textId="51EB659B" w:rsidR="004C00DC" w:rsidRPr="00D53845" w:rsidRDefault="004D2578" w:rsidP="00D14914">
      <w:pPr>
        <w:jc w:val="center"/>
        <w:rPr>
          <w:rFonts w:ascii="Tahoma" w:hAnsi="Tahoma" w:cs="Tahoma"/>
          <w:b/>
          <w:sz w:val="24"/>
          <w:szCs w:val="20"/>
        </w:rPr>
      </w:pPr>
      <w:r w:rsidRPr="00D53845">
        <w:rPr>
          <w:rFonts w:ascii="Tahoma" w:hAnsi="Tahoma" w:cs="Tahoma"/>
          <w:b/>
          <w:bCs/>
          <w:noProof/>
          <w:sz w:val="24"/>
          <w:szCs w:val="20"/>
          <w:lang w:eastAsia="en-GB"/>
        </w:rPr>
        <w:drawing>
          <wp:anchor distT="0" distB="0" distL="114300" distR="114300" simplePos="0" relativeHeight="251658240" behindDoc="0" locked="0" layoutInCell="1" allowOverlap="1" wp14:anchorId="09329FBD" wp14:editId="23CBA9BF">
            <wp:simplePos x="0" y="0"/>
            <wp:positionH relativeFrom="column">
              <wp:posOffset>8619490</wp:posOffset>
            </wp:positionH>
            <wp:positionV relativeFrom="paragraph">
              <wp:posOffset>-387985</wp:posOffset>
            </wp:positionV>
            <wp:extent cx="551325" cy="533400"/>
            <wp:effectExtent l="76200" t="76200" r="77470" b="76200"/>
            <wp:wrapNone/>
            <wp:docPr id="1" name="Picture 1" descr="NG172J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172J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325" cy="533400"/>
                    </a:xfrm>
                    <a:prstGeom prst="rect">
                      <a:avLst/>
                    </a:prstGeom>
                    <a:solidFill>
                      <a:srgbClr val="FF0000"/>
                    </a:solidFill>
                    <a:ln w="76200" cmpd="tri">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D53845">
        <w:rPr>
          <w:rFonts w:ascii="Tahoma" w:hAnsi="Tahoma" w:cs="Tahoma"/>
          <w:b/>
          <w:sz w:val="24"/>
          <w:szCs w:val="20"/>
        </w:rPr>
        <w:t>Equality Objectives 2021</w:t>
      </w:r>
      <w:r w:rsidR="008C3C79" w:rsidRPr="00D53845">
        <w:rPr>
          <w:rFonts w:ascii="Tahoma" w:hAnsi="Tahoma" w:cs="Tahoma"/>
          <w:b/>
          <w:sz w:val="24"/>
          <w:szCs w:val="20"/>
        </w:rPr>
        <w:t>-25</w:t>
      </w:r>
    </w:p>
    <w:tbl>
      <w:tblPr>
        <w:tblStyle w:val="TableGrid"/>
        <w:tblW w:w="15310" w:type="dxa"/>
        <w:tblInd w:w="-714" w:type="dxa"/>
        <w:tblLook w:val="04A0" w:firstRow="1" w:lastRow="0" w:firstColumn="1" w:lastColumn="0" w:noHBand="0" w:noVBand="1"/>
      </w:tblPr>
      <w:tblGrid>
        <w:gridCol w:w="2339"/>
        <w:gridCol w:w="2339"/>
        <w:gridCol w:w="5316"/>
        <w:gridCol w:w="5316"/>
      </w:tblGrid>
      <w:tr w:rsidR="00D53845" w:rsidRPr="00D53845" w14:paraId="481FAD87" w14:textId="77777777" w:rsidTr="00F560F9">
        <w:tc>
          <w:tcPr>
            <w:tcW w:w="2339" w:type="dxa"/>
            <w:shd w:val="clear" w:color="auto" w:fill="D9D9D9" w:themeFill="background1" w:themeFillShade="D9"/>
          </w:tcPr>
          <w:p w14:paraId="5C03473B" w14:textId="77777777" w:rsidR="00D53845" w:rsidRPr="00B81070" w:rsidRDefault="00D53845" w:rsidP="00257CDB">
            <w:pPr>
              <w:pStyle w:val="Default"/>
              <w:jc w:val="center"/>
              <w:rPr>
                <w:rFonts w:ascii="Tahoma" w:hAnsi="Tahoma" w:cs="Tahoma"/>
                <w:b/>
                <w:bCs/>
                <w:color w:val="auto"/>
                <w:sz w:val="16"/>
                <w:szCs w:val="16"/>
              </w:rPr>
            </w:pPr>
            <w:r w:rsidRPr="00B81070">
              <w:rPr>
                <w:rFonts w:ascii="Tahoma" w:hAnsi="Tahoma" w:cs="Tahoma"/>
                <w:b/>
                <w:bCs/>
                <w:color w:val="auto"/>
                <w:sz w:val="16"/>
                <w:szCs w:val="16"/>
              </w:rPr>
              <w:t>Objective:</w:t>
            </w:r>
          </w:p>
        </w:tc>
        <w:tc>
          <w:tcPr>
            <w:tcW w:w="2339" w:type="dxa"/>
            <w:shd w:val="clear" w:color="auto" w:fill="D9D9D9" w:themeFill="background1" w:themeFillShade="D9"/>
          </w:tcPr>
          <w:p w14:paraId="4F3C0415" w14:textId="430910A3" w:rsidR="00D53845" w:rsidRPr="00B81070" w:rsidRDefault="00D53845" w:rsidP="00B81070">
            <w:pPr>
              <w:pStyle w:val="Default"/>
              <w:jc w:val="center"/>
              <w:rPr>
                <w:rFonts w:ascii="Tahoma" w:hAnsi="Tahoma" w:cs="Tahoma"/>
                <w:b/>
                <w:bCs/>
                <w:color w:val="auto"/>
                <w:sz w:val="16"/>
                <w:szCs w:val="16"/>
              </w:rPr>
            </w:pPr>
            <w:r w:rsidRPr="00B81070">
              <w:rPr>
                <w:rFonts w:ascii="Tahoma" w:hAnsi="Tahoma" w:cs="Tahoma"/>
                <w:b/>
                <w:bCs/>
                <w:color w:val="auto"/>
                <w:sz w:val="16"/>
                <w:szCs w:val="16"/>
              </w:rPr>
              <w:t>Why we have chosen this objective:</w:t>
            </w:r>
          </w:p>
        </w:tc>
        <w:tc>
          <w:tcPr>
            <w:tcW w:w="5316" w:type="dxa"/>
            <w:shd w:val="clear" w:color="auto" w:fill="D9D9D9" w:themeFill="background1" w:themeFillShade="D9"/>
          </w:tcPr>
          <w:p w14:paraId="4C756E5F" w14:textId="77777777" w:rsidR="00D53845" w:rsidRPr="00B81070" w:rsidRDefault="00D53845" w:rsidP="00257CDB">
            <w:pPr>
              <w:pStyle w:val="Default"/>
              <w:jc w:val="center"/>
              <w:rPr>
                <w:rFonts w:ascii="Tahoma" w:hAnsi="Tahoma" w:cs="Tahoma"/>
                <w:b/>
                <w:bCs/>
                <w:color w:val="auto"/>
                <w:sz w:val="16"/>
                <w:szCs w:val="16"/>
              </w:rPr>
            </w:pPr>
            <w:r w:rsidRPr="00B81070">
              <w:rPr>
                <w:rFonts w:ascii="Tahoma" w:hAnsi="Tahoma" w:cs="Tahoma"/>
                <w:b/>
                <w:bCs/>
                <w:color w:val="auto"/>
                <w:sz w:val="16"/>
                <w:szCs w:val="16"/>
              </w:rPr>
              <w:t>To achieve this objective we plan to:</w:t>
            </w:r>
          </w:p>
        </w:tc>
        <w:tc>
          <w:tcPr>
            <w:tcW w:w="5316" w:type="dxa"/>
            <w:shd w:val="clear" w:color="auto" w:fill="D9D9D9" w:themeFill="background1" w:themeFillShade="D9"/>
          </w:tcPr>
          <w:p w14:paraId="50181D0F" w14:textId="7AE2F70E" w:rsidR="00D53845" w:rsidRPr="00B81070" w:rsidRDefault="00D53845" w:rsidP="00B81070">
            <w:pPr>
              <w:pStyle w:val="Default"/>
              <w:jc w:val="center"/>
              <w:rPr>
                <w:rFonts w:ascii="Tahoma" w:hAnsi="Tahoma" w:cs="Tahoma"/>
                <w:b/>
                <w:bCs/>
                <w:color w:val="auto"/>
                <w:sz w:val="16"/>
                <w:szCs w:val="16"/>
              </w:rPr>
            </w:pPr>
            <w:r w:rsidRPr="00B81070">
              <w:rPr>
                <w:rFonts w:ascii="Tahoma" w:hAnsi="Tahoma" w:cs="Tahoma"/>
                <w:b/>
                <w:bCs/>
                <w:color w:val="auto"/>
                <w:sz w:val="16"/>
                <w:szCs w:val="16"/>
              </w:rPr>
              <w:t>202</w:t>
            </w:r>
            <w:r w:rsidR="0079275C">
              <w:rPr>
                <w:rFonts w:ascii="Tahoma" w:hAnsi="Tahoma" w:cs="Tahoma"/>
                <w:b/>
                <w:bCs/>
                <w:color w:val="auto"/>
                <w:sz w:val="16"/>
                <w:szCs w:val="16"/>
              </w:rPr>
              <w:t>4</w:t>
            </w:r>
            <w:r w:rsidRPr="00B81070">
              <w:rPr>
                <w:rFonts w:ascii="Tahoma" w:hAnsi="Tahoma" w:cs="Tahoma"/>
                <w:b/>
                <w:bCs/>
                <w:color w:val="auto"/>
                <w:sz w:val="16"/>
                <w:szCs w:val="16"/>
              </w:rPr>
              <w:t>-2</w:t>
            </w:r>
            <w:r w:rsidR="0079275C">
              <w:rPr>
                <w:rFonts w:ascii="Tahoma" w:hAnsi="Tahoma" w:cs="Tahoma"/>
                <w:b/>
                <w:bCs/>
                <w:color w:val="auto"/>
                <w:sz w:val="16"/>
                <w:szCs w:val="16"/>
              </w:rPr>
              <w:t>5</w:t>
            </w:r>
            <w:r w:rsidRPr="00B81070">
              <w:rPr>
                <w:rFonts w:ascii="Tahoma" w:hAnsi="Tahoma" w:cs="Tahoma"/>
                <w:b/>
                <w:bCs/>
                <w:color w:val="auto"/>
                <w:sz w:val="16"/>
                <w:szCs w:val="16"/>
              </w:rPr>
              <w:t xml:space="preserve"> Review</w:t>
            </w:r>
          </w:p>
        </w:tc>
      </w:tr>
      <w:tr w:rsidR="00D53845" w:rsidRPr="00D53845" w14:paraId="7672911E" w14:textId="77777777" w:rsidTr="00F560F9">
        <w:tc>
          <w:tcPr>
            <w:tcW w:w="2339" w:type="dxa"/>
            <w:shd w:val="clear" w:color="auto" w:fill="D9D9D9" w:themeFill="background1" w:themeFillShade="D9"/>
          </w:tcPr>
          <w:p w14:paraId="0250EF29" w14:textId="77777777" w:rsidR="00D53845" w:rsidRPr="00B81070" w:rsidRDefault="00D53845" w:rsidP="0010441C">
            <w:pPr>
              <w:pStyle w:val="Default"/>
              <w:rPr>
                <w:rFonts w:ascii="Tahoma" w:hAnsi="Tahoma" w:cs="Tahoma"/>
                <w:b/>
                <w:bCs/>
                <w:color w:val="auto"/>
                <w:sz w:val="16"/>
                <w:szCs w:val="16"/>
              </w:rPr>
            </w:pPr>
            <w:r w:rsidRPr="00B81070">
              <w:rPr>
                <w:rFonts w:ascii="Tahoma" w:hAnsi="Tahoma" w:cs="Tahoma"/>
                <w:b/>
                <w:bCs/>
                <w:color w:val="auto"/>
                <w:sz w:val="16"/>
                <w:szCs w:val="16"/>
              </w:rPr>
              <w:t>1.To design and implement a curriculum that closes the gender gap specifically in relation to oral language, reading and writing.</w:t>
            </w:r>
          </w:p>
        </w:tc>
        <w:tc>
          <w:tcPr>
            <w:tcW w:w="2339" w:type="dxa"/>
          </w:tcPr>
          <w:p w14:paraId="75F3A692" w14:textId="77777777" w:rsidR="00D53845" w:rsidRPr="00B81070" w:rsidRDefault="00D53845" w:rsidP="00C66B09">
            <w:pPr>
              <w:pStyle w:val="Default"/>
              <w:rPr>
                <w:rFonts w:ascii="Tahoma" w:hAnsi="Tahoma" w:cs="Tahoma"/>
                <w:bCs/>
                <w:color w:val="auto"/>
                <w:sz w:val="16"/>
                <w:szCs w:val="16"/>
              </w:rPr>
            </w:pPr>
            <w:r w:rsidRPr="00B81070">
              <w:rPr>
                <w:rFonts w:ascii="Tahoma" w:hAnsi="Tahoma" w:cs="Tahoma"/>
                <w:bCs/>
                <w:color w:val="auto"/>
                <w:sz w:val="16"/>
                <w:szCs w:val="16"/>
              </w:rPr>
              <w:t>Whilst there is some variation in outcomes due to small cohorts, girls generally outperform boys both in the EYFS and in KS1.  This is particularly noticeable in their oral and written language skills.</w:t>
            </w:r>
          </w:p>
        </w:tc>
        <w:tc>
          <w:tcPr>
            <w:tcW w:w="5316" w:type="dxa"/>
          </w:tcPr>
          <w:p w14:paraId="1F4A3577" w14:textId="77777777" w:rsidR="00D53845" w:rsidRPr="00B81070" w:rsidRDefault="00D53845" w:rsidP="00257CD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Further develop ECAT strategies to develop spoken language skills and vocabulary.</w:t>
            </w:r>
          </w:p>
          <w:p w14:paraId="7CF1DB89" w14:textId="77777777" w:rsidR="00D53845" w:rsidRPr="00B81070" w:rsidRDefault="00D53845" w:rsidP="00257CD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Prioritise reading through 2021-22 (see SIP).</w:t>
            </w:r>
          </w:p>
          <w:p w14:paraId="658017A5" w14:textId="77777777" w:rsidR="00D53845" w:rsidRPr="00B81070" w:rsidRDefault="00D53845" w:rsidP="00257CD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Use targeted intervention as appropriate.</w:t>
            </w:r>
          </w:p>
          <w:p w14:paraId="7E17FEF6" w14:textId="77777777" w:rsidR="00D53845" w:rsidRPr="00B81070" w:rsidRDefault="00D53845" w:rsidP="00257CD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Base our work on research as to what works well for boys, providing, for example, more opportunities to develop literacy skills outdoors.</w:t>
            </w:r>
          </w:p>
          <w:p w14:paraId="799D2464" w14:textId="6757C5A3" w:rsidR="00D53845" w:rsidRPr="00B81070" w:rsidRDefault="00D53845" w:rsidP="00257CD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Monitor pupil progress regularly and take</w:t>
            </w:r>
            <w:r w:rsidR="00385EE3" w:rsidRPr="00B81070">
              <w:rPr>
                <w:rFonts w:ascii="Tahoma" w:hAnsi="Tahoma" w:cs="Tahoma"/>
                <w:bCs/>
                <w:color w:val="auto"/>
                <w:sz w:val="16"/>
                <w:szCs w:val="16"/>
              </w:rPr>
              <w:t xml:space="preserve"> </w:t>
            </w:r>
            <w:r w:rsidRPr="00B81070">
              <w:rPr>
                <w:rFonts w:ascii="Tahoma" w:hAnsi="Tahoma" w:cs="Tahoma"/>
                <w:bCs/>
                <w:color w:val="auto"/>
                <w:sz w:val="16"/>
                <w:szCs w:val="16"/>
              </w:rPr>
              <w:t>action as required.</w:t>
            </w:r>
          </w:p>
        </w:tc>
        <w:tc>
          <w:tcPr>
            <w:tcW w:w="5316" w:type="dxa"/>
          </w:tcPr>
          <w:p w14:paraId="5A4E8EC6" w14:textId="2A5BE7F2" w:rsidR="00E51C5B" w:rsidRPr="00B81070" w:rsidRDefault="00572C6E"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EYFS - t</w:t>
            </w:r>
            <w:r w:rsidR="00FA1FE6" w:rsidRPr="00B81070">
              <w:rPr>
                <w:rFonts w:ascii="Tahoma" w:hAnsi="Tahoma" w:cs="Tahoma"/>
                <w:bCs/>
                <w:color w:val="auto"/>
                <w:sz w:val="16"/>
                <w:szCs w:val="16"/>
              </w:rPr>
              <w:t xml:space="preserve">he attainment gap between boys and girls </w:t>
            </w:r>
            <w:r w:rsidR="007F3474" w:rsidRPr="00B81070">
              <w:rPr>
                <w:rFonts w:ascii="Tahoma" w:hAnsi="Tahoma" w:cs="Tahoma"/>
                <w:bCs/>
                <w:color w:val="auto"/>
                <w:sz w:val="16"/>
                <w:szCs w:val="16"/>
              </w:rPr>
              <w:t xml:space="preserve">reduced significantly </w:t>
            </w:r>
            <w:r w:rsidRPr="00B81070">
              <w:rPr>
                <w:rFonts w:ascii="Tahoma" w:hAnsi="Tahoma" w:cs="Tahoma"/>
                <w:bCs/>
                <w:color w:val="auto"/>
                <w:sz w:val="16"/>
                <w:szCs w:val="16"/>
              </w:rPr>
              <w:t>in the year 202</w:t>
            </w:r>
            <w:r w:rsidR="00FF07E8">
              <w:rPr>
                <w:rFonts w:ascii="Tahoma" w:hAnsi="Tahoma" w:cs="Tahoma"/>
                <w:bCs/>
                <w:color w:val="auto"/>
                <w:sz w:val="16"/>
                <w:szCs w:val="16"/>
              </w:rPr>
              <w:t>4</w:t>
            </w:r>
            <w:r w:rsidRPr="00B81070">
              <w:rPr>
                <w:rFonts w:ascii="Tahoma" w:hAnsi="Tahoma" w:cs="Tahoma"/>
                <w:bCs/>
                <w:color w:val="auto"/>
                <w:sz w:val="16"/>
                <w:szCs w:val="16"/>
              </w:rPr>
              <w:t>-2</w:t>
            </w:r>
            <w:r w:rsidR="00FF07E8">
              <w:rPr>
                <w:rFonts w:ascii="Tahoma" w:hAnsi="Tahoma" w:cs="Tahoma"/>
                <w:bCs/>
                <w:color w:val="auto"/>
                <w:sz w:val="16"/>
                <w:szCs w:val="16"/>
              </w:rPr>
              <w:t>5</w:t>
            </w:r>
            <w:r w:rsidR="00742752" w:rsidRPr="00B81070">
              <w:rPr>
                <w:rFonts w:ascii="Tahoma" w:hAnsi="Tahoma" w:cs="Tahoma"/>
                <w:bCs/>
                <w:color w:val="auto"/>
                <w:sz w:val="16"/>
                <w:szCs w:val="16"/>
              </w:rPr>
              <w:t>.</w:t>
            </w:r>
          </w:p>
          <w:p w14:paraId="25451F0E" w14:textId="4B15888E" w:rsidR="00E51C5B" w:rsidRPr="00B81070" w:rsidRDefault="00AF178C"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 xml:space="preserve">KS1 </w:t>
            </w:r>
            <w:r w:rsidR="003B65C0" w:rsidRPr="00B81070">
              <w:rPr>
                <w:rFonts w:ascii="Tahoma" w:hAnsi="Tahoma" w:cs="Tahoma"/>
                <w:bCs/>
                <w:color w:val="auto"/>
                <w:sz w:val="16"/>
                <w:szCs w:val="16"/>
              </w:rPr>
              <w:t>–</w:t>
            </w:r>
            <w:r w:rsidRPr="00B81070">
              <w:rPr>
                <w:rFonts w:ascii="Tahoma" w:hAnsi="Tahoma" w:cs="Tahoma"/>
                <w:bCs/>
                <w:color w:val="auto"/>
                <w:sz w:val="16"/>
                <w:szCs w:val="16"/>
              </w:rPr>
              <w:t xml:space="preserve"> </w:t>
            </w:r>
            <w:r w:rsidR="003B65C0" w:rsidRPr="00B81070">
              <w:rPr>
                <w:rFonts w:ascii="Tahoma" w:hAnsi="Tahoma" w:cs="Tahoma"/>
                <w:bCs/>
                <w:color w:val="auto"/>
                <w:sz w:val="16"/>
                <w:szCs w:val="16"/>
              </w:rPr>
              <w:t>boys</w:t>
            </w:r>
            <w:r w:rsidR="007F3EC9">
              <w:rPr>
                <w:rFonts w:ascii="Tahoma" w:hAnsi="Tahoma" w:cs="Tahoma"/>
                <w:bCs/>
                <w:color w:val="auto"/>
                <w:sz w:val="16"/>
                <w:szCs w:val="16"/>
              </w:rPr>
              <w:t>’</w:t>
            </w:r>
            <w:r w:rsidR="003B65C0" w:rsidRPr="00B81070">
              <w:rPr>
                <w:rFonts w:ascii="Tahoma" w:hAnsi="Tahoma" w:cs="Tahoma"/>
                <w:bCs/>
                <w:color w:val="auto"/>
                <w:sz w:val="16"/>
                <w:szCs w:val="16"/>
              </w:rPr>
              <w:t xml:space="preserve"> perform</w:t>
            </w:r>
            <w:r w:rsidR="007F3EC9">
              <w:rPr>
                <w:rFonts w:ascii="Tahoma" w:hAnsi="Tahoma" w:cs="Tahoma"/>
                <w:bCs/>
                <w:color w:val="auto"/>
                <w:sz w:val="16"/>
                <w:szCs w:val="16"/>
              </w:rPr>
              <w:t>ance was in line with that of</w:t>
            </w:r>
            <w:r w:rsidR="003B65C0" w:rsidRPr="00B81070">
              <w:rPr>
                <w:rFonts w:ascii="Tahoma" w:hAnsi="Tahoma" w:cs="Tahoma"/>
                <w:bCs/>
                <w:color w:val="auto"/>
                <w:sz w:val="16"/>
                <w:szCs w:val="16"/>
              </w:rPr>
              <w:t xml:space="preserve"> girls in</w:t>
            </w:r>
            <w:r w:rsidR="007F3EC9">
              <w:rPr>
                <w:rFonts w:ascii="Tahoma" w:hAnsi="Tahoma" w:cs="Tahoma"/>
                <w:bCs/>
                <w:color w:val="auto"/>
                <w:sz w:val="16"/>
                <w:szCs w:val="16"/>
              </w:rPr>
              <w:t xml:space="preserve"> </w:t>
            </w:r>
            <w:r w:rsidR="003B65C0" w:rsidRPr="00B81070">
              <w:rPr>
                <w:rFonts w:ascii="Tahoma" w:hAnsi="Tahoma" w:cs="Tahoma"/>
                <w:bCs/>
                <w:color w:val="auto"/>
                <w:sz w:val="16"/>
                <w:szCs w:val="16"/>
              </w:rPr>
              <w:t>writing at the end of KS1</w:t>
            </w:r>
            <w:r w:rsidR="007F3EC9">
              <w:rPr>
                <w:rFonts w:ascii="Tahoma" w:hAnsi="Tahoma" w:cs="Tahoma"/>
                <w:bCs/>
                <w:color w:val="auto"/>
                <w:sz w:val="16"/>
                <w:szCs w:val="16"/>
              </w:rPr>
              <w:t>, and higher than that of girls in both reading and writing at GDS.</w:t>
            </w:r>
          </w:p>
          <w:p w14:paraId="10799BE4" w14:textId="0B96A27C" w:rsidR="00E51C5B" w:rsidRPr="00B81070" w:rsidRDefault="004E45CD"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 xml:space="preserve">A focus on scaffolding and adapting learning to enable all </w:t>
            </w:r>
            <w:r w:rsidR="00B471FA" w:rsidRPr="00B81070">
              <w:rPr>
                <w:rFonts w:ascii="Tahoma" w:hAnsi="Tahoma" w:cs="Tahoma"/>
                <w:bCs/>
                <w:color w:val="auto"/>
                <w:sz w:val="16"/>
                <w:szCs w:val="16"/>
              </w:rPr>
              <w:t>children</w:t>
            </w:r>
            <w:r w:rsidRPr="00B81070">
              <w:rPr>
                <w:rFonts w:ascii="Tahoma" w:hAnsi="Tahoma" w:cs="Tahoma"/>
                <w:bCs/>
                <w:color w:val="auto"/>
                <w:sz w:val="16"/>
                <w:szCs w:val="16"/>
              </w:rPr>
              <w:t xml:space="preserve"> to be successful </w:t>
            </w:r>
            <w:r w:rsidR="000B0100" w:rsidRPr="00B81070">
              <w:rPr>
                <w:rFonts w:ascii="Tahoma" w:hAnsi="Tahoma" w:cs="Tahoma"/>
                <w:bCs/>
                <w:color w:val="auto"/>
                <w:sz w:val="16"/>
                <w:szCs w:val="16"/>
              </w:rPr>
              <w:t>had a</w:t>
            </w:r>
            <w:r w:rsidR="00ED49D0" w:rsidRPr="00B81070">
              <w:rPr>
                <w:rFonts w:ascii="Tahoma" w:hAnsi="Tahoma" w:cs="Tahoma"/>
                <w:bCs/>
                <w:color w:val="auto"/>
                <w:sz w:val="16"/>
                <w:szCs w:val="16"/>
              </w:rPr>
              <w:t xml:space="preserve"> positive</w:t>
            </w:r>
            <w:r w:rsidR="000B0100" w:rsidRPr="00B81070">
              <w:rPr>
                <w:rFonts w:ascii="Tahoma" w:hAnsi="Tahoma" w:cs="Tahoma"/>
                <w:bCs/>
                <w:color w:val="auto"/>
                <w:sz w:val="16"/>
                <w:szCs w:val="16"/>
              </w:rPr>
              <w:t xml:space="preserve"> impact on</w:t>
            </w:r>
            <w:r w:rsidRPr="00B81070">
              <w:rPr>
                <w:rFonts w:ascii="Tahoma" w:hAnsi="Tahoma" w:cs="Tahoma"/>
                <w:bCs/>
                <w:color w:val="auto"/>
                <w:sz w:val="16"/>
                <w:szCs w:val="16"/>
              </w:rPr>
              <w:t xml:space="preserve"> boys’ progress.</w:t>
            </w:r>
            <w:r w:rsidR="00572C6E" w:rsidRPr="00B81070">
              <w:rPr>
                <w:rFonts w:ascii="Tahoma" w:hAnsi="Tahoma" w:cs="Tahoma"/>
                <w:bCs/>
                <w:color w:val="auto"/>
                <w:sz w:val="16"/>
                <w:szCs w:val="16"/>
              </w:rPr>
              <w:t xml:space="preserve"> </w:t>
            </w:r>
          </w:p>
          <w:p w14:paraId="1F25DC8B" w14:textId="6275EB12" w:rsidR="00D53845" w:rsidRDefault="00E51C5B" w:rsidP="00ED49D0">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 xml:space="preserve">A focus on developing speech, language and communication skills, including interventions such as Listening Groups, Attention Autism, Switch On and </w:t>
            </w:r>
            <w:r w:rsidR="00B471FA" w:rsidRPr="00B81070">
              <w:rPr>
                <w:rFonts w:ascii="Tahoma" w:hAnsi="Tahoma" w:cs="Tahoma"/>
                <w:bCs/>
                <w:color w:val="auto"/>
                <w:sz w:val="16"/>
                <w:szCs w:val="16"/>
              </w:rPr>
              <w:t>guided reading</w:t>
            </w:r>
            <w:r w:rsidRPr="00B81070">
              <w:rPr>
                <w:rFonts w:ascii="Tahoma" w:hAnsi="Tahoma" w:cs="Tahoma"/>
                <w:bCs/>
                <w:color w:val="auto"/>
                <w:sz w:val="16"/>
                <w:szCs w:val="16"/>
              </w:rPr>
              <w:t xml:space="preserve"> supported the progress of all children, especially boys.</w:t>
            </w:r>
          </w:p>
          <w:p w14:paraId="5ED0AE54" w14:textId="10A17E2E" w:rsidR="002A6D01" w:rsidRPr="00B81070" w:rsidRDefault="002A6D01" w:rsidP="00ED49D0">
            <w:pPr>
              <w:pStyle w:val="Default"/>
              <w:numPr>
                <w:ilvl w:val="0"/>
                <w:numId w:val="2"/>
              </w:numPr>
              <w:rPr>
                <w:rFonts w:ascii="Tahoma" w:hAnsi="Tahoma" w:cs="Tahoma"/>
                <w:bCs/>
                <w:color w:val="auto"/>
                <w:sz w:val="16"/>
                <w:szCs w:val="16"/>
              </w:rPr>
            </w:pPr>
            <w:r>
              <w:rPr>
                <w:rFonts w:ascii="Tahoma" w:hAnsi="Tahoma" w:cs="Tahoma"/>
                <w:bCs/>
                <w:color w:val="auto"/>
                <w:sz w:val="16"/>
                <w:szCs w:val="16"/>
              </w:rPr>
              <w:t xml:space="preserve">The Talk for Writing teaching sequence has supported the </w:t>
            </w:r>
            <w:r w:rsidR="0066629E">
              <w:rPr>
                <w:rFonts w:ascii="Tahoma" w:hAnsi="Tahoma" w:cs="Tahoma"/>
                <w:bCs/>
                <w:color w:val="auto"/>
                <w:sz w:val="16"/>
                <w:szCs w:val="16"/>
              </w:rPr>
              <w:t>development of writing, especially for boys.</w:t>
            </w:r>
          </w:p>
          <w:p w14:paraId="1C8A0871" w14:textId="2C9921A4" w:rsidR="00B81070" w:rsidRPr="00B81070" w:rsidRDefault="00B81070" w:rsidP="00B81070">
            <w:pPr>
              <w:pStyle w:val="Default"/>
              <w:ind w:left="720"/>
              <w:rPr>
                <w:rFonts w:ascii="Tahoma" w:hAnsi="Tahoma" w:cs="Tahoma"/>
                <w:bCs/>
                <w:color w:val="auto"/>
                <w:sz w:val="16"/>
                <w:szCs w:val="16"/>
              </w:rPr>
            </w:pPr>
          </w:p>
        </w:tc>
      </w:tr>
      <w:tr w:rsidR="00D53845" w:rsidRPr="00D53845" w14:paraId="19F0F58D" w14:textId="77777777" w:rsidTr="00F560F9">
        <w:tc>
          <w:tcPr>
            <w:tcW w:w="2339" w:type="dxa"/>
            <w:shd w:val="clear" w:color="auto" w:fill="D9D9D9" w:themeFill="background1" w:themeFillShade="D9"/>
          </w:tcPr>
          <w:p w14:paraId="24362356" w14:textId="77777777" w:rsidR="00D53845" w:rsidRPr="00B81070" w:rsidRDefault="00D53845" w:rsidP="0010441C">
            <w:pPr>
              <w:pStyle w:val="Default"/>
              <w:rPr>
                <w:rFonts w:ascii="Tahoma" w:hAnsi="Tahoma" w:cs="Tahoma"/>
                <w:b/>
                <w:bCs/>
                <w:color w:val="auto"/>
                <w:sz w:val="16"/>
                <w:szCs w:val="16"/>
              </w:rPr>
            </w:pPr>
            <w:r w:rsidRPr="00B81070">
              <w:rPr>
                <w:rFonts w:ascii="Tahoma" w:hAnsi="Tahoma" w:cs="Tahoma"/>
                <w:b/>
                <w:bCs/>
                <w:color w:val="auto"/>
                <w:sz w:val="16"/>
                <w:szCs w:val="16"/>
              </w:rPr>
              <w:t>2.To narrow the gap between the attainment and progress of pupils entitled to pupil premium (PP) and those that are not across all areas.</w:t>
            </w:r>
          </w:p>
        </w:tc>
        <w:tc>
          <w:tcPr>
            <w:tcW w:w="2339" w:type="dxa"/>
          </w:tcPr>
          <w:p w14:paraId="17C3F7AA" w14:textId="77777777" w:rsidR="00D53845" w:rsidRDefault="00D53845" w:rsidP="00CD55C1">
            <w:pPr>
              <w:rPr>
                <w:rFonts w:ascii="Tahoma" w:eastAsia="Times New Roman" w:hAnsi="Tahoma" w:cs="Tahoma"/>
                <w:bCs/>
                <w:iCs/>
                <w:sz w:val="16"/>
                <w:szCs w:val="16"/>
                <w:lang w:val="en-US"/>
              </w:rPr>
            </w:pPr>
            <w:r w:rsidRPr="00B81070">
              <w:rPr>
                <w:rFonts w:ascii="Tahoma" w:eastAsia="Times New Roman" w:hAnsi="Tahoma" w:cs="Tahoma"/>
                <w:bCs/>
                <w:iCs/>
                <w:sz w:val="16"/>
                <w:szCs w:val="16"/>
                <w:lang w:val="en-US"/>
              </w:rPr>
              <w:t xml:space="preserve">Outcomes for children entitled to PP remain variable; cohort size and additional vulnerability factors have an impact, but the numbers achieving expected and higher levels are too low.  The number of children entitled to PP has increased since the pandemic began.  </w:t>
            </w:r>
          </w:p>
          <w:p w14:paraId="4BF66266" w14:textId="77777777" w:rsidR="00B81070" w:rsidRPr="00B81070" w:rsidRDefault="00B81070" w:rsidP="00CD55C1">
            <w:pPr>
              <w:rPr>
                <w:rFonts w:ascii="Tahoma" w:eastAsia="Times New Roman" w:hAnsi="Tahoma" w:cs="Tahoma"/>
                <w:bCs/>
                <w:iCs/>
                <w:sz w:val="16"/>
                <w:szCs w:val="16"/>
                <w:lang w:val="en-US"/>
              </w:rPr>
            </w:pPr>
          </w:p>
        </w:tc>
        <w:tc>
          <w:tcPr>
            <w:tcW w:w="5316" w:type="dxa"/>
          </w:tcPr>
          <w:p w14:paraId="4629B9D2" w14:textId="77777777" w:rsidR="00D53845" w:rsidRPr="00B81070" w:rsidRDefault="00D53845" w:rsidP="00310F9A">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Further develop ECAT strategies to develop spoken language skills and vocabulary.</w:t>
            </w:r>
          </w:p>
          <w:p w14:paraId="49CA942A" w14:textId="77777777" w:rsidR="00D53845" w:rsidRPr="00B81070" w:rsidRDefault="00D53845" w:rsidP="00310F9A">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Prioritise reading through 2021-22 (see SIP).</w:t>
            </w:r>
          </w:p>
          <w:p w14:paraId="7BA2F827" w14:textId="77777777" w:rsidR="00D53845" w:rsidRPr="00B81070" w:rsidRDefault="00D53845" w:rsidP="00310F9A">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Prioritise targeted intervention for children entitled to PP.</w:t>
            </w:r>
          </w:p>
          <w:p w14:paraId="3616FBC3" w14:textId="77777777" w:rsidR="00D53845" w:rsidRPr="00B81070" w:rsidRDefault="00D53845" w:rsidP="00257CDB">
            <w:pPr>
              <w:pStyle w:val="ListParagraph"/>
              <w:numPr>
                <w:ilvl w:val="0"/>
                <w:numId w:val="2"/>
              </w:numPr>
              <w:spacing w:after="0" w:line="240" w:lineRule="auto"/>
              <w:rPr>
                <w:rFonts w:ascii="Tahoma" w:eastAsia="Times New Roman" w:hAnsi="Tahoma" w:cs="Tahoma"/>
                <w:bCs/>
                <w:iCs/>
                <w:sz w:val="16"/>
                <w:szCs w:val="16"/>
                <w:lang w:val="en-US"/>
              </w:rPr>
            </w:pPr>
            <w:r w:rsidRPr="00B81070">
              <w:rPr>
                <w:rFonts w:ascii="Tahoma" w:eastAsia="Times New Roman" w:hAnsi="Tahoma" w:cs="Tahoma"/>
                <w:bCs/>
                <w:iCs/>
                <w:sz w:val="16"/>
                <w:szCs w:val="16"/>
                <w:lang w:val="en-US"/>
              </w:rPr>
              <w:t>Base our work on EEF research as to what works well for pupils entitled to PP.</w:t>
            </w:r>
          </w:p>
          <w:p w14:paraId="2AC52A9A" w14:textId="77777777" w:rsidR="00D53845" w:rsidRPr="00B81070" w:rsidRDefault="00D53845" w:rsidP="00257CDB">
            <w:pPr>
              <w:pStyle w:val="ListParagraph"/>
              <w:numPr>
                <w:ilvl w:val="0"/>
                <w:numId w:val="2"/>
              </w:numPr>
              <w:spacing w:after="0" w:line="240" w:lineRule="auto"/>
              <w:rPr>
                <w:rFonts w:ascii="Tahoma" w:eastAsia="Times New Roman" w:hAnsi="Tahoma" w:cs="Tahoma"/>
                <w:bCs/>
                <w:iCs/>
                <w:sz w:val="16"/>
                <w:szCs w:val="16"/>
                <w:lang w:val="en-US"/>
              </w:rPr>
            </w:pPr>
            <w:r w:rsidRPr="00B81070">
              <w:rPr>
                <w:rFonts w:ascii="Tahoma" w:eastAsia="Times New Roman" w:hAnsi="Tahoma" w:cs="Tahoma"/>
                <w:bCs/>
                <w:iCs/>
                <w:sz w:val="16"/>
                <w:szCs w:val="16"/>
                <w:lang w:val="en-US"/>
              </w:rPr>
              <w:t>Develop stronger working relationships with families that enhance children’s progress.</w:t>
            </w:r>
          </w:p>
          <w:p w14:paraId="690029B7" w14:textId="77777777" w:rsidR="00D53845" w:rsidRPr="00B81070" w:rsidRDefault="00D53845" w:rsidP="00257CDB">
            <w:pPr>
              <w:pStyle w:val="ListParagraph"/>
              <w:numPr>
                <w:ilvl w:val="0"/>
                <w:numId w:val="2"/>
              </w:numPr>
              <w:spacing w:after="0" w:line="240" w:lineRule="auto"/>
              <w:rPr>
                <w:rFonts w:ascii="Tahoma" w:eastAsia="Times New Roman" w:hAnsi="Tahoma" w:cs="Tahoma"/>
                <w:bCs/>
                <w:iCs/>
                <w:sz w:val="16"/>
                <w:szCs w:val="16"/>
                <w:lang w:val="en-US"/>
              </w:rPr>
            </w:pPr>
            <w:r w:rsidRPr="00B81070">
              <w:rPr>
                <w:rFonts w:ascii="Tahoma" w:eastAsia="Times New Roman" w:hAnsi="Tahoma" w:cs="Tahoma"/>
                <w:bCs/>
                <w:iCs/>
                <w:sz w:val="16"/>
                <w:szCs w:val="16"/>
                <w:lang w:val="en-US"/>
              </w:rPr>
              <w:t>Monitor pupils progress regularly and take action as required.</w:t>
            </w:r>
          </w:p>
        </w:tc>
        <w:tc>
          <w:tcPr>
            <w:tcW w:w="5316" w:type="dxa"/>
          </w:tcPr>
          <w:p w14:paraId="3BB2718E" w14:textId="7312195D" w:rsidR="00E51C5B" w:rsidRPr="00B81070" w:rsidRDefault="00FA4923"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 xml:space="preserve">EYFS – the attainment gap between </w:t>
            </w:r>
            <w:r w:rsidR="00ED49D0" w:rsidRPr="00B81070">
              <w:rPr>
                <w:rFonts w:ascii="Tahoma" w:hAnsi="Tahoma" w:cs="Tahoma"/>
                <w:bCs/>
                <w:color w:val="auto"/>
                <w:sz w:val="16"/>
                <w:szCs w:val="16"/>
              </w:rPr>
              <w:t xml:space="preserve">PP eligible </w:t>
            </w:r>
            <w:r w:rsidRPr="00B81070">
              <w:rPr>
                <w:rFonts w:ascii="Tahoma" w:hAnsi="Tahoma" w:cs="Tahoma"/>
                <w:bCs/>
                <w:color w:val="auto"/>
                <w:sz w:val="16"/>
                <w:szCs w:val="16"/>
              </w:rPr>
              <w:t xml:space="preserve">children and those not eligible reduced in </w:t>
            </w:r>
            <w:r w:rsidR="00245C1E">
              <w:rPr>
                <w:rFonts w:ascii="Tahoma" w:hAnsi="Tahoma" w:cs="Tahoma"/>
                <w:bCs/>
                <w:color w:val="auto"/>
                <w:sz w:val="16"/>
                <w:szCs w:val="16"/>
              </w:rPr>
              <w:t xml:space="preserve">significantly in </w:t>
            </w:r>
            <w:r w:rsidR="00AF178C" w:rsidRPr="00B81070">
              <w:rPr>
                <w:rFonts w:ascii="Tahoma" w:hAnsi="Tahoma" w:cs="Tahoma"/>
                <w:bCs/>
                <w:color w:val="auto"/>
                <w:sz w:val="16"/>
                <w:szCs w:val="16"/>
              </w:rPr>
              <w:t>202</w:t>
            </w:r>
            <w:r w:rsidR="00245C1E">
              <w:rPr>
                <w:rFonts w:ascii="Tahoma" w:hAnsi="Tahoma" w:cs="Tahoma"/>
                <w:bCs/>
                <w:color w:val="auto"/>
                <w:sz w:val="16"/>
                <w:szCs w:val="16"/>
              </w:rPr>
              <w:t>4</w:t>
            </w:r>
            <w:r w:rsidR="00AF178C" w:rsidRPr="00B81070">
              <w:rPr>
                <w:rFonts w:ascii="Tahoma" w:hAnsi="Tahoma" w:cs="Tahoma"/>
                <w:bCs/>
                <w:color w:val="auto"/>
                <w:sz w:val="16"/>
                <w:szCs w:val="16"/>
              </w:rPr>
              <w:t>-2</w:t>
            </w:r>
            <w:r w:rsidR="00245C1E">
              <w:rPr>
                <w:rFonts w:ascii="Tahoma" w:hAnsi="Tahoma" w:cs="Tahoma"/>
                <w:bCs/>
                <w:color w:val="auto"/>
                <w:sz w:val="16"/>
                <w:szCs w:val="16"/>
              </w:rPr>
              <w:t>5</w:t>
            </w:r>
            <w:r w:rsidR="00AF178C" w:rsidRPr="00B81070">
              <w:rPr>
                <w:rFonts w:ascii="Tahoma" w:hAnsi="Tahoma" w:cs="Tahoma"/>
                <w:bCs/>
                <w:color w:val="auto"/>
                <w:sz w:val="16"/>
                <w:szCs w:val="16"/>
              </w:rPr>
              <w:t xml:space="preserve"> and</w:t>
            </w:r>
            <w:r w:rsidR="009A2145" w:rsidRPr="00B81070">
              <w:rPr>
                <w:rFonts w:ascii="Tahoma" w:hAnsi="Tahoma" w:cs="Tahoma"/>
                <w:bCs/>
                <w:color w:val="auto"/>
                <w:sz w:val="16"/>
                <w:szCs w:val="16"/>
              </w:rPr>
              <w:t xml:space="preserve"> was significantly less that the LA and national gaps</w:t>
            </w:r>
            <w:r w:rsidR="00F74DC8" w:rsidRPr="00B81070">
              <w:rPr>
                <w:rFonts w:ascii="Tahoma" w:hAnsi="Tahoma" w:cs="Tahoma"/>
                <w:bCs/>
                <w:color w:val="auto"/>
                <w:sz w:val="16"/>
                <w:szCs w:val="16"/>
              </w:rPr>
              <w:t>.</w:t>
            </w:r>
            <w:r w:rsidR="00245C1E">
              <w:rPr>
                <w:rFonts w:ascii="Tahoma" w:hAnsi="Tahoma" w:cs="Tahoma"/>
                <w:bCs/>
                <w:color w:val="auto"/>
                <w:sz w:val="16"/>
                <w:szCs w:val="16"/>
              </w:rPr>
              <w:t xml:space="preserve">  </w:t>
            </w:r>
            <w:r w:rsidR="008E399A">
              <w:rPr>
                <w:rFonts w:ascii="Tahoma" w:hAnsi="Tahoma" w:cs="Tahoma"/>
                <w:bCs/>
                <w:color w:val="auto"/>
                <w:sz w:val="16"/>
                <w:szCs w:val="16"/>
              </w:rPr>
              <w:t>The performance of PP eligible children was higher than local averages and in line with national averages.</w:t>
            </w:r>
          </w:p>
          <w:p w14:paraId="72EDFD65" w14:textId="35E63398" w:rsidR="000B0100" w:rsidRPr="00B81070" w:rsidRDefault="000B0100"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 xml:space="preserve">KS1 </w:t>
            </w:r>
            <w:r w:rsidR="00665BE1" w:rsidRPr="00B81070">
              <w:rPr>
                <w:rFonts w:ascii="Tahoma" w:hAnsi="Tahoma" w:cs="Tahoma"/>
                <w:bCs/>
                <w:color w:val="auto"/>
                <w:sz w:val="16"/>
                <w:szCs w:val="16"/>
              </w:rPr>
              <w:t>–</w:t>
            </w:r>
            <w:r w:rsidRPr="00B81070">
              <w:rPr>
                <w:rFonts w:ascii="Tahoma" w:hAnsi="Tahoma" w:cs="Tahoma"/>
                <w:bCs/>
                <w:color w:val="auto"/>
                <w:sz w:val="16"/>
                <w:szCs w:val="16"/>
              </w:rPr>
              <w:t xml:space="preserve"> </w:t>
            </w:r>
            <w:r w:rsidR="00C56AF0">
              <w:rPr>
                <w:rFonts w:ascii="Tahoma" w:hAnsi="Tahoma" w:cs="Tahoma"/>
                <w:bCs/>
                <w:color w:val="auto"/>
                <w:sz w:val="16"/>
                <w:szCs w:val="16"/>
              </w:rPr>
              <w:t xml:space="preserve">the performance of </w:t>
            </w:r>
            <w:r w:rsidR="00665BE1" w:rsidRPr="00B81070">
              <w:rPr>
                <w:rFonts w:ascii="Tahoma" w:hAnsi="Tahoma" w:cs="Tahoma"/>
                <w:bCs/>
                <w:color w:val="auto"/>
                <w:sz w:val="16"/>
                <w:szCs w:val="16"/>
              </w:rPr>
              <w:t>PP</w:t>
            </w:r>
            <w:r w:rsidR="00F74DC8" w:rsidRPr="00B81070">
              <w:rPr>
                <w:rFonts w:ascii="Tahoma" w:hAnsi="Tahoma" w:cs="Tahoma"/>
                <w:bCs/>
                <w:color w:val="auto"/>
                <w:sz w:val="16"/>
                <w:szCs w:val="16"/>
              </w:rPr>
              <w:t xml:space="preserve"> eligible children</w:t>
            </w:r>
            <w:r w:rsidR="00665BE1" w:rsidRPr="00B81070">
              <w:rPr>
                <w:rFonts w:ascii="Tahoma" w:hAnsi="Tahoma" w:cs="Tahoma"/>
                <w:bCs/>
                <w:color w:val="auto"/>
                <w:sz w:val="16"/>
                <w:szCs w:val="16"/>
              </w:rPr>
              <w:t xml:space="preserve"> </w:t>
            </w:r>
            <w:r w:rsidR="00C56AF0">
              <w:rPr>
                <w:rFonts w:ascii="Tahoma" w:hAnsi="Tahoma" w:cs="Tahoma"/>
                <w:bCs/>
                <w:color w:val="auto"/>
                <w:sz w:val="16"/>
                <w:szCs w:val="16"/>
              </w:rPr>
              <w:t xml:space="preserve">was in line with all pupils in reading and mathematics and </w:t>
            </w:r>
            <w:r w:rsidR="00975D5F">
              <w:rPr>
                <w:rFonts w:ascii="Tahoma" w:hAnsi="Tahoma" w:cs="Tahoma"/>
                <w:bCs/>
                <w:color w:val="auto"/>
                <w:sz w:val="16"/>
                <w:szCs w:val="16"/>
              </w:rPr>
              <w:t xml:space="preserve">significantly </w:t>
            </w:r>
            <w:r w:rsidR="00C56AF0">
              <w:rPr>
                <w:rFonts w:ascii="Tahoma" w:hAnsi="Tahoma" w:cs="Tahoma"/>
                <w:bCs/>
                <w:color w:val="auto"/>
                <w:sz w:val="16"/>
                <w:szCs w:val="16"/>
              </w:rPr>
              <w:t>higher than national average</w:t>
            </w:r>
            <w:r w:rsidR="00975D5F">
              <w:rPr>
                <w:rFonts w:ascii="Tahoma" w:hAnsi="Tahoma" w:cs="Tahoma"/>
                <w:bCs/>
                <w:color w:val="auto"/>
                <w:sz w:val="16"/>
                <w:szCs w:val="16"/>
              </w:rPr>
              <w:t xml:space="preserve">s in reading and mathematics. </w:t>
            </w:r>
          </w:p>
          <w:p w14:paraId="2E6DB902" w14:textId="49A7EB6C" w:rsidR="00E51C5B" w:rsidRPr="00B81070" w:rsidRDefault="00E51C5B" w:rsidP="00E51C5B">
            <w:pPr>
              <w:pStyle w:val="Default"/>
              <w:numPr>
                <w:ilvl w:val="0"/>
                <w:numId w:val="2"/>
              </w:numPr>
              <w:rPr>
                <w:rFonts w:ascii="Tahoma" w:hAnsi="Tahoma" w:cs="Tahoma"/>
                <w:bCs/>
                <w:color w:val="auto"/>
                <w:sz w:val="16"/>
                <w:szCs w:val="16"/>
              </w:rPr>
            </w:pPr>
            <w:r w:rsidRPr="00B81070">
              <w:rPr>
                <w:rFonts w:ascii="Tahoma" w:hAnsi="Tahoma" w:cs="Tahoma"/>
                <w:bCs/>
                <w:color w:val="auto"/>
                <w:sz w:val="16"/>
                <w:szCs w:val="16"/>
              </w:rPr>
              <w:t>A strong focus on the needs of PP eligible children and regular progress reviews enabled them to make accelerated progress from their starting points.</w:t>
            </w:r>
          </w:p>
          <w:p w14:paraId="464D2E2B" w14:textId="34FBD1F5" w:rsidR="00E51C5B" w:rsidRPr="00B81070" w:rsidRDefault="00E51C5B" w:rsidP="00E51C5B">
            <w:pPr>
              <w:pStyle w:val="Default"/>
              <w:ind w:left="720"/>
              <w:rPr>
                <w:rFonts w:ascii="Tahoma" w:hAnsi="Tahoma" w:cs="Tahoma"/>
                <w:bCs/>
                <w:color w:val="auto"/>
                <w:sz w:val="16"/>
                <w:szCs w:val="16"/>
              </w:rPr>
            </w:pPr>
          </w:p>
        </w:tc>
      </w:tr>
      <w:tr w:rsidR="00D53845" w:rsidRPr="00D53845" w14:paraId="6CF9E401" w14:textId="77777777" w:rsidTr="00F560F9">
        <w:tc>
          <w:tcPr>
            <w:tcW w:w="2339" w:type="dxa"/>
            <w:shd w:val="clear" w:color="auto" w:fill="D9D9D9" w:themeFill="background1" w:themeFillShade="D9"/>
          </w:tcPr>
          <w:p w14:paraId="4C08D21A" w14:textId="77777777" w:rsidR="00D53845" w:rsidRPr="00B81070" w:rsidRDefault="00D53845" w:rsidP="0010441C">
            <w:pPr>
              <w:pStyle w:val="Default"/>
              <w:rPr>
                <w:rFonts w:ascii="Tahoma" w:hAnsi="Tahoma" w:cs="Tahoma"/>
                <w:b/>
                <w:bCs/>
                <w:color w:val="auto"/>
                <w:sz w:val="16"/>
                <w:szCs w:val="16"/>
              </w:rPr>
            </w:pPr>
            <w:r w:rsidRPr="00B81070">
              <w:rPr>
                <w:rFonts w:ascii="Tahoma" w:hAnsi="Tahoma" w:cs="Tahoma"/>
                <w:b/>
                <w:bCs/>
                <w:color w:val="auto"/>
                <w:sz w:val="16"/>
                <w:szCs w:val="16"/>
              </w:rPr>
              <w:t>3.To ensure the curriculum explicitly celebrates diversity and promotes understanding of difference.</w:t>
            </w:r>
          </w:p>
          <w:p w14:paraId="09710BE9" w14:textId="77777777" w:rsidR="00D53845" w:rsidRPr="00B81070" w:rsidRDefault="00D53845" w:rsidP="00257CDB">
            <w:pPr>
              <w:pStyle w:val="Default"/>
              <w:ind w:left="360"/>
              <w:rPr>
                <w:rFonts w:ascii="Tahoma" w:hAnsi="Tahoma" w:cs="Tahoma"/>
                <w:b/>
                <w:bCs/>
                <w:color w:val="auto"/>
                <w:sz w:val="16"/>
                <w:szCs w:val="16"/>
              </w:rPr>
            </w:pPr>
          </w:p>
        </w:tc>
        <w:tc>
          <w:tcPr>
            <w:tcW w:w="2339" w:type="dxa"/>
          </w:tcPr>
          <w:p w14:paraId="50E2A2AA" w14:textId="77777777" w:rsidR="00D53845" w:rsidRPr="00B81070" w:rsidRDefault="00D53845" w:rsidP="00DD59CD">
            <w:pPr>
              <w:pStyle w:val="Default"/>
              <w:rPr>
                <w:rFonts w:ascii="Tahoma" w:hAnsi="Tahoma" w:cs="Tahoma"/>
                <w:bCs/>
                <w:color w:val="auto"/>
                <w:sz w:val="16"/>
                <w:szCs w:val="16"/>
              </w:rPr>
            </w:pPr>
            <w:r w:rsidRPr="00B81070">
              <w:rPr>
                <w:rFonts w:ascii="Tahoma" w:hAnsi="Tahoma" w:cs="Tahoma"/>
                <w:bCs/>
                <w:color w:val="auto"/>
                <w:sz w:val="16"/>
                <w:szCs w:val="16"/>
              </w:rPr>
              <w:t>Our c</w:t>
            </w:r>
            <w:r w:rsidRPr="00B81070">
              <w:rPr>
                <w:rFonts w:ascii="Tahoma" w:hAnsi="Tahoma" w:cs="Tahoma"/>
                <w:sz w:val="16"/>
                <w:szCs w:val="16"/>
              </w:rPr>
              <w:t>hildren come from an area with historic high levels of social disadvantage.  There are fewer than average children from ethnic minority groups whose first language is not English.  It is particularly important that the curriculum provides lots of opportunities for children to learn about and appreciate the richness and diversity of God’s world all around them.</w:t>
            </w:r>
          </w:p>
          <w:p w14:paraId="2187365E" w14:textId="77777777" w:rsidR="00D53845" w:rsidRPr="00B81070" w:rsidRDefault="00D53845" w:rsidP="003057FE">
            <w:pPr>
              <w:pStyle w:val="Default"/>
              <w:rPr>
                <w:rFonts w:ascii="Tahoma" w:hAnsi="Tahoma" w:cs="Tahoma"/>
                <w:bCs/>
                <w:color w:val="auto"/>
                <w:sz w:val="16"/>
                <w:szCs w:val="16"/>
              </w:rPr>
            </w:pPr>
          </w:p>
        </w:tc>
        <w:tc>
          <w:tcPr>
            <w:tcW w:w="5316" w:type="dxa"/>
          </w:tcPr>
          <w:p w14:paraId="5B3D691F" w14:textId="77777777" w:rsidR="00D53845" w:rsidRPr="00B81070" w:rsidRDefault="00D53845"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Teaching of HeartSmart values so that pupils understand that all people are children of God and should be valued as such.</w:t>
            </w:r>
          </w:p>
          <w:p w14:paraId="5DF6B435" w14:textId="77777777" w:rsidR="00D53845" w:rsidRPr="00B81070" w:rsidRDefault="00D53845"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Daily collective worship with a clear focus on the HeartSmart values so that pupils use the language of HeartSmart in their daily lives around the school.</w:t>
            </w:r>
          </w:p>
          <w:p w14:paraId="5C6C4F50" w14:textId="77777777" w:rsidR="00D53845" w:rsidRPr="00B81070" w:rsidRDefault="00D53845"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Embedding of the PSHE scheme ‘Talking Points’ giving pupils opportunities to discuss matters of diversity, share their views and giving teachers opportunities to challenge stereotypes or misconceptions.</w:t>
            </w:r>
          </w:p>
          <w:p w14:paraId="422B85C8" w14:textId="77777777" w:rsidR="00D53845" w:rsidRPr="00B81070" w:rsidRDefault="00D53845"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Improved RE teaching through the year and visits linked to an understanding of religions (synagogue, church).</w:t>
            </w:r>
          </w:p>
          <w:p w14:paraId="1AB81BB5" w14:textId="77777777" w:rsidR="00D53845" w:rsidRPr="00B81070" w:rsidRDefault="00D53845" w:rsidP="00C67675">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Visitors that support children’s cultural development.</w:t>
            </w:r>
          </w:p>
          <w:p w14:paraId="240B9E43" w14:textId="2B8745E6" w:rsidR="00D53845" w:rsidRPr="00B81070" w:rsidRDefault="00D53845" w:rsidP="00C67675">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 xml:space="preserve">Development of </w:t>
            </w:r>
            <w:r w:rsidR="00650DA8" w:rsidRPr="00B81070">
              <w:rPr>
                <w:rFonts w:ascii="Tahoma" w:hAnsi="Tahoma" w:cs="Tahoma"/>
                <w:bCs/>
                <w:color w:val="auto"/>
                <w:sz w:val="16"/>
                <w:szCs w:val="16"/>
              </w:rPr>
              <w:t>long-term</w:t>
            </w:r>
            <w:r w:rsidRPr="00B81070">
              <w:rPr>
                <w:rFonts w:ascii="Tahoma" w:hAnsi="Tahoma" w:cs="Tahoma"/>
                <w:bCs/>
                <w:color w:val="auto"/>
                <w:sz w:val="16"/>
                <w:szCs w:val="16"/>
              </w:rPr>
              <w:t xml:space="preserve"> planning so that learning starts with what is known and moves outward (me, my community, the wider world).</w:t>
            </w:r>
          </w:p>
          <w:p w14:paraId="630EFF76" w14:textId="77777777" w:rsidR="00D53845" w:rsidRDefault="00D53845"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A focus on the heritage of the community we serve so that the next generation are more socially mobile (e.g. work on the mining heritage and jobs we might do in the future).</w:t>
            </w:r>
          </w:p>
          <w:p w14:paraId="6CC329F5" w14:textId="77777777" w:rsidR="00F560F9" w:rsidRPr="00B81070" w:rsidRDefault="00F560F9" w:rsidP="00F560F9">
            <w:pPr>
              <w:pStyle w:val="Default"/>
              <w:ind w:left="720"/>
              <w:rPr>
                <w:rFonts w:ascii="Tahoma" w:hAnsi="Tahoma" w:cs="Tahoma"/>
                <w:bCs/>
                <w:color w:val="auto"/>
                <w:sz w:val="16"/>
                <w:szCs w:val="16"/>
              </w:rPr>
            </w:pPr>
          </w:p>
        </w:tc>
        <w:tc>
          <w:tcPr>
            <w:tcW w:w="5316" w:type="dxa"/>
          </w:tcPr>
          <w:p w14:paraId="7CCFB013" w14:textId="77777777" w:rsidR="00D53845" w:rsidRPr="00B81070" w:rsidRDefault="00316B8C"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Through HeartSmart</w:t>
            </w:r>
            <w:r w:rsidR="00F66614" w:rsidRPr="00B81070">
              <w:rPr>
                <w:rFonts w:ascii="Tahoma" w:hAnsi="Tahoma" w:cs="Tahoma"/>
                <w:bCs/>
                <w:color w:val="auto"/>
                <w:sz w:val="16"/>
                <w:szCs w:val="16"/>
              </w:rPr>
              <w:t xml:space="preserve">, collective worship and Talking Points, pupils have regular opportunities to encounter and talk about </w:t>
            </w:r>
            <w:r w:rsidR="008A0939" w:rsidRPr="00B81070">
              <w:rPr>
                <w:rFonts w:ascii="Tahoma" w:hAnsi="Tahoma" w:cs="Tahoma"/>
                <w:bCs/>
                <w:color w:val="auto"/>
                <w:sz w:val="16"/>
                <w:szCs w:val="16"/>
              </w:rPr>
              <w:t>diversity in all its forms.</w:t>
            </w:r>
          </w:p>
          <w:p w14:paraId="26A464CD" w14:textId="28CA7640" w:rsidR="008A0939" w:rsidRPr="00B81070" w:rsidRDefault="008A0939"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 xml:space="preserve">The reading spine </w:t>
            </w:r>
            <w:r w:rsidR="00F00175" w:rsidRPr="00B81070">
              <w:rPr>
                <w:rFonts w:ascii="Tahoma" w:hAnsi="Tahoma" w:cs="Tahoma"/>
                <w:bCs/>
                <w:color w:val="auto"/>
                <w:sz w:val="16"/>
                <w:szCs w:val="16"/>
              </w:rPr>
              <w:t xml:space="preserve">has a </w:t>
            </w:r>
            <w:r w:rsidR="004C62F7" w:rsidRPr="00B81070">
              <w:rPr>
                <w:rFonts w:ascii="Tahoma" w:hAnsi="Tahoma" w:cs="Tahoma"/>
                <w:bCs/>
                <w:color w:val="auto"/>
                <w:sz w:val="16"/>
                <w:szCs w:val="16"/>
              </w:rPr>
              <w:t xml:space="preserve">specific </w:t>
            </w:r>
            <w:r w:rsidR="00F00175" w:rsidRPr="00B81070">
              <w:rPr>
                <w:rFonts w:ascii="Tahoma" w:hAnsi="Tahoma" w:cs="Tahoma"/>
                <w:bCs/>
                <w:color w:val="auto"/>
                <w:sz w:val="16"/>
                <w:szCs w:val="16"/>
              </w:rPr>
              <w:t>focus o</w:t>
            </w:r>
            <w:r w:rsidR="004C62F7" w:rsidRPr="00B81070">
              <w:rPr>
                <w:rFonts w:ascii="Tahoma" w:hAnsi="Tahoma" w:cs="Tahoma"/>
                <w:bCs/>
                <w:color w:val="auto"/>
                <w:sz w:val="16"/>
                <w:szCs w:val="16"/>
              </w:rPr>
              <w:t xml:space="preserve">n diversity and </w:t>
            </w:r>
            <w:r w:rsidR="00E77629" w:rsidRPr="00B81070">
              <w:rPr>
                <w:rFonts w:ascii="Tahoma" w:hAnsi="Tahoma" w:cs="Tahoma"/>
                <w:bCs/>
                <w:color w:val="auto"/>
                <w:sz w:val="16"/>
                <w:szCs w:val="16"/>
              </w:rPr>
              <w:t xml:space="preserve">aspects of social justice, enabling pupils to talk about </w:t>
            </w:r>
            <w:r w:rsidR="00A5657D" w:rsidRPr="00B81070">
              <w:rPr>
                <w:rFonts w:ascii="Tahoma" w:hAnsi="Tahoma" w:cs="Tahoma"/>
                <w:bCs/>
                <w:color w:val="auto"/>
                <w:sz w:val="16"/>
                <w:szCs w:val="16"/>
              </w:rPr>
              <w:t>similarity, difference, justice and injustice</w:t>
            </w:r>
            <w:r w:rsidR="00650DA8" w:rsidRPr="00B81070">
              <w:rPr>
                <w:rFonts w:ascii="Tahoma" w:hAnsi="Tahoma" w:cs="Tahoma"/>
                <w:bCs/>
                <w:color w:val="auto"/>
                <w:sz w:val="16"/>
                <w:szCs w:val="16"/>
              </w:rPr>
              <w:t xml:space="preserve"> in a safe and supportive context.</w:t>
            </w:r>
          </w:p>
          <w:p w14:paraId="52D93213" w14:textId="4CD8430B" w:rsidR="00650DA8" w:rsidRDefault="00650DA8" w:rsidP="00CB35E9">
            <w:pPr>
              <w:pStyle w:val="Default"/>
              <w:numPr>
                <w:ilvl w:val="0"/>
                <w:numId w:val="4"/>
              </w:numPr>
              <w:rPr>
                <w:rFonts w:ascii="Tahoma" w:hAnsi="Tahoma" w:cs="Tahoma"/>
                <w:bCs/>
                <w:color w:val="auto"/>
                <w:sz w:val="16"/>
                <w:szCs w:val="16"/>
              </w:rPr>
            </w:pPr>
            <w:r w:rsidRPr="00B81070">
              <w:rPr>
                <w:rFonts w:ascii="Tahoma" w:hAnsi="Tahoma" w:cs="Tahoma"/>
                <w:bCs/>
                <w:color w:val="auto"/>
                <w:sz w:val="16"/>
                <w:szCs w:val="16"/>
              </w:rPr>
              <w:t>The long</w:t>
            </w:r>
            <w:r w:rsidR="00BB50BE" w:rsidRPr="00B81070">
              <w:rPr>
                <w:rFonts w:ascii="Tahoma" w:hAnsi="Tahoma" w:cs="Tahoma"/>
                <w:bCs/>
                <w:color w:val="auto"/>
                <w:sz w:val="16"/>
                <w:szCs w:val="16"/>
              </w:rPr>
              <w:t>-</w:t>
            </w:r>
            <w:r w:rsidRPr="00B81070">
              <w:rPr>
                <w:rFonts w:ascii="Tahoma" w:hAnsi="Tahoma" w:cs="Tahoma"/>
                <w:bCs/>
                <w:color w:val="auto"/>
                <w:sz w:val="16"/>
                <w:szCs w:val="16"/>
              </w:rPr>
              <w:t xml:space="preserve">term plan </w:t>
            </w:r>
            <w:r w:rsidR="004340A8" w:rsidRPr="00B81070">
              <w:rPr>
                <w:rFonts w:ascii="Tahoma" w:hAnsi="Tahoma" w:cs="Tahoma"/>
                <w:bCs/>
                <w:color w:val="auto"/>
                <w:sz w:val="16"/>
                <w:szCs w:val="16"/>
              </w:rPr>
              <w:t xml:space="preserve">contains many opportunities for pupils to learn about the </w:t>
            </w:r>
            <w:r w:rsidR="00BB50BE" w:rsidRPr="00B81070">
              <w:rPr>
                <w:rFonts w:ascii="Tahoma" w:hAnsi="Tahoma" w:cs="Tahoma"/>
                <w:bCs/>
                <w:color w:val="auto"/>
                <w:sz w:val="16"/>
                <w:szCs w:val="16"/>
              </w:rPr>
              <w:t>richness</w:t>
            </w:r>
            <w:r w:rsidR="004340A8" w:rsidRPr="00B81070">
              <w:rPr>
                <w:rFonts w:ascii="Tahoma" w:hAnsi="Tahoma" w:cs="Tahoma"/>
                <w:bCs/>
                <w:color w:val="auto"/>
                <w:sz w:val="16"/>
                <w:szCs w:val="16"/>
              </w:rPr>
              <w:t xml:space="preserve"> of their immediate world and </w:t>
            </w:r>
            <w:r w:rsidR="00BB50BE" w:rsidRPr="00B81070">
              <w:rPr>
                <w:rFonts w:ascii="Tahoma" w:hAnsi="Tahoma" w:cs="Tahoma"/>
                <w:bCs/>
                <w:color w:val="auto"/>
                <w:sz w:val="16"/>
                <w:szCs w:val="16"/>
              </w:rPr>
              <w:t>the world beyond their experience.</w:t>
            </w:r>
          </w:p>
          <w:p w14:paraId="15184430" w14:textId="3D7A5288" w:rsidR="00975D5F" w:rsidRDefault="00975D5F" w:rsidP="00CB35E9">
            <w:pPr>
              <w:pStyle w:val="Default"/>
              <w:numPr>
                <w:ilvl w:val="0"/>
                <w:numId w:val="4"/>
              </w:numPr>
              <w:rPr>
                <w:rFonts w:ascii="Tahoma" w:hAnsi="Tahoma" w:cs="Tahoma"/>
                <w:bCs/>
                <w:color w:val="auto"/>
                <w:sz w:val="16"/>
                <w:szCs w:val="16"/>
              </w:rPr>
            </w:pPr>
            <w:r>
              <w:rPr>
                <w:rFonts w:ascii="Tahoma" w:hAnsi="Tahoma" w:cs="Tahoma"/>
                <w:bCs/>
                <w:color w:val="auto"/>
                <w:sz w:val="16"/>
                <w:szCs w:val="16"/>
              </w:rPr>
              <w:t xml:space="preserve">The RE curriculum raises </w:t>
            </w:r>
            <w:r w:rsidR="007255E5">
              <w:rPr>
                <w:rFonts w:ascii="Tahoma" w:hAnsi="Tahoma" w:cs="Tahoma"/>
                <w:bCs/>
                <w:color w:val="auto"/>
                <w:sz w:val="16"/>
                <w:szCs w:val="16"/>
              </w:rPr>
              <w:t>pupils’ awareness of culture, faith and belief beyond their immediate experience.</w:t>
            </w:r>
          </w:p>
          <w:p w14:paraId="162D8FFF" w14:textId="4EC3BB7A" w:rsidR="00DE0F47" w:rsidRPr="00B81070" w:rsidRDefault="00DE0F47" w:rsidP="00CB35E9">
            <w:pPr>
              <w:pStyle w:val="Default"/>
              <w:numPr>
                <w:ilvl w:val="0"/>
                <w:numId w:val="4"/>
              </w:numPr>
              <w:rPr>
                <w:rFonts w:ascii="Tahoma" w:hAnsi="Tahoma" w:cs="Tahoma"/>
                <w:bCs/>
                <w:color w:val="auto"/>
                <w:sz w:val="16"/>
                <w:szCs w:val="16"/>
              </w:rPr>
            </w:pPr>
            <w:r>
              <w:rPr>
                <w:rFonts w:ascii="Tahoma" w:hAnsi="Tahoma" w:cs="Tahoma"/>
                <w:bCs/>
                <w:color w:val="auto"/>
                <w:sz w:val="16"/>
                <w:szCs w:val="16"/>
              </w:rPr>
              <w:t xml:space="preserve">Visits and visitors have enhanced pupils’ cultural understanding (e.g. Ravenstor, </w:t>
            </w:r>
            <w:r w:rsidR="003432A0">
              <w:rPr>
                <w:rFonts w:ascii="Tahoma" w:hAnsi="Tahoma" w:cs="Tahoma"/>
                <w:bCs/>
                <w:color w:val="auto"/>
                <w:sz w:val="16"/>
                <w:szCs w:val="16"/>
              </w:rPr>
              <w:t>National Mining Museum, Black County Museum).</w:t>
            </w:r>
          </w:p>
        </w:tc>
      </w:tr>
    </w:tbl>
    <w:p w14:paraId="49ACE74F" w14:textId="77777777" w:rsidR="004C00DC" w:rsidRPr="00D53845" w:rsidRDefault="004C00DC">
      <w:pPr>
        <w:rPr>
          <w:sz w:val="20"/>
          <w:szCs w:val="20"/>
        </w:rPr>
      </w:pPr>
    </w:p>
    <w:sectPr w:rsidR="004C00DC" w:rsidRPr="00D53845" w:rsidSect="004D2578">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D98A" w14:textId="77777777" w:rsidR="00214E3B" w:rsidRDefault="00214E3B" w:rsidP="00BE0DBD">
      <w:pPr>
        <w:spacing w:after="0" w:line="240" w:lineRule="auto"/>
      </w:pPr>
      <w:r>
        <w:separator/>
      </w:r>
    </w:p>
  </w:endnote>
  <w:endnote w:type="continuationSeparator" w:id="0">
    <w:p w14:paraId="2993A61D" w14:textId="77777777" w:rsidR="00214E3B" w:rsidRDefault="00214E3B" w:rsidP="00B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CE12" w14:textId="77777777" w:rsidR="00214E3B" w:rsidRDefault="00214E3B" w:rsidP="00BE0DBD">
      <w:pPr>
        <w:spacing w:after="0" w:line="240" w:lineRule="auto"/>
      </w:pPr>
      <w:r>
        <w:separator/>
      </w:r>
    </w:p>
  </w:footnote>
  <w:footnote w:type="continuationSeparator" w:id="0">
    <w:p w14:paraId="010D4188" w14:textId="77777777" w:rsidR="00214E3B" w:rsidRDefault="00214E3B" w:rsidP="00BE0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E6"/>
    <w:multiLevelType w:val="hybridMultilevel"/>
    <w:tmpl w:val="4ABEBFF8"/>
    <w:lvl w:ilvl="0" w:tplc="3CB439C0">
      <w:start w:val="1"/>
      <w:numFmt w:val="bullet"/>
      <w:pStyle w:val="Bullet2"/>
      <w:lvlText w:val="-"/>
      <w:lvlJc w:val="lef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CDB40D4"/>
    <w:multiLevelType w:val="hybridMultilevel"/>
    <w:tmpl w:val="87FA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86094"/>
    <w:multiLevelType w:val="hybridMultilevel"/>
    <w:tmpl w:val="B294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023A4"/>
    <w:multiLevelType w:val="hybridMultilevel"/>
    <w:tmpl w:val="1B20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A1CF6"/>
    <w:multiLevelType w:val="hybridMultilevel"/>
    <w:tmpl w:val="804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F2E81"/>
    <w:multiLevelType w:val="hybridMultilevel"/>
    <w:tmpl w:val="A45E2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274FC9"/>
    <w:multiLevelType w:val="hybridMultilevel"/>
    <w:tmpl w:val="2F7E7532"/>
    <w:lvl w:ilvl="0" w:tplc="40FA35C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D523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352BB6"/>
    <w:multiLevelType w:val="hybridMultilevel"/>
    <w:tmpl w:val="F132A7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506850">
    <w:abstractNumId w:val="8"/>
  </w:num>
  <w:num w:numId="2" w16cid:durableId="1888449526">
    <w:abstractNumId w:val="1"/>
  </w:num>
  <w:num w:numId="3" w16cid:durableId="981423537">
    <w:abstractNumId w:val="5"/>
  </w:num>
  <w:num w:numId="4" w16cid:durableId="616719848">
    <w:abstractNumId w:val="2"/>
  </w:num>
  <w:num w:numId="5" w16cid:durableId="573706366">
    <w:abstractNumId w:val="3"/>
  </w:num>
  <w:num w:numId="6" w16cid:durableId="843085598">
    <w:abstractNumId w:val="7"/>
  </w:num>
  <w:num w:numId="7" w16cid:durableId="364142084">
    <w:abstractNumId w:val="0"/>
  </w:num>
  <w:num w:numId="8" w16cid:durableId="760878515">
    <w:abstractNumId w:val="6"/>
  </w:num>
  <w:num w:numId="9" w16cid:durableId="212403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DC"/>
    <w:rsid w:val="000261C9"/>
    <w:rsid w:val="0007200F"/>
    <w:rsid w:val="00083A01"/>
    <w:rsid w:val="000B0100"/>
    <w:rsid w:val="0010441C"/>
    <w:rsid w:val="0018284B"/>
    <w:rsid w:val="001A3FB8"/>
    <w:rsid w:val="001C7447"/>
    <w:rsid w:val="00204260"/>
    <w:rsid w:val="00204B15"/>
    <w:rsid w:val="00214E3B"/>
    <w:rsid w:val="00245C1E"/>
    <w:rsid w:val="002515F7"/>
    <w:rsid w:val="00257CDB"/>
    <w:rsid w:val="002A6D01"/>
    <w:rsid w:val="00304F6D"/>
    <w:rsid w:val="003057FE"/>
    <w:rsid w:val="00310F9A"/>
    <w:rsid w:val="00316B8C"/>
    <w:rsid w:val="003432A0"/>
    <w:rsid w:val="00345E62"/>
    <w:rsid w:val="00356FEF"/>
    <w:rsid w:val="00385EE3"/>
    <w:rsid w:val="003875D9"/>
    <w:rsid w:val="003B65C0"/>
    <w:rsid w:val="004340A8"/>
    <w:rsid w:val="0044360B"/>
    <w:rsid w:val="00447958"/>
    <w:rsid w:val="004C00DC"/>
    <w:rsid w:val="004C62F7"/>
    <w:rsid w:val="004D2578"/>
    <w:rsid w:val="004E45CD"/>
    <w:rsid w:val="00567DB0"/>
    <w:rsid w:val="00571576"/>
    <w:rsid w:val="00572C6E"/>
    <w:rsid w:val="005B0112"/>
    <w:rsid w:val="006010C2"/>
    <w:rsid w:val="006150B1"/>
    <w:rsid w:val="006156C0"/>
    <w:rsid w:val="00640089"/>
    <w:rsid w:val="00642755"/>
    <w:rsid w:val="00650DA8"/>
    <w:rsid w:val="0065601D"/>
    <w:rsid w:val="00665BE1"/>
    <w:rsid w:val="0066629E"/>
    <w:rsid w:val="006879FC"/>
    <w:rsid w:val="007255E5"/>
    <w:rsid w:val="00733EB0"/>
    <w:rsid w:val="00742752"/>
    <w:rsid w:val="0079275C"/>
    <w:rsid w:val="007E36C0"/>
    <w:rsid w:val="007F3474"/>
    <w:rsid w:val="007F3EC9"/>
    <w:rsid w:val="00817B94"/>
    <w:rsid w:val="00824F70"/>
    <w:rsid w:val="008905C6"/>
    <w:rsid w:val="00892949"/>
    <w:rsid w:val="008A0939"/>
    <w:rsid w:val="008A7DCD"/>
    <w:rsid w:val="008C3C79"/>
    <w:rsid w:val="008E399A"/>
    <w:rsid w:val="008E5D81"/>
    <w:rsid w:val="009042BA"/>
    <w:rsid w:val="00912A0C"/>
    <w:rsid w:val="00936AC3"/>
    <w:rsid w:val="00975D5F"/>
    <w:rsid w:val="009958D8"/>
    <w:rsid w:val="009A2145"/>
    <w:rsid w:val="009B2767"/>
    <w:rsid w:val="00A2480D"/>
    <w:rsid w:val="00A33237"/>
    <w:rsid w:val="00A5657D"/>
    <w:rsid w:val="00A75BF8"/>
    <w:rsid w:val="00AF178C"/>
    <w:rsid w:val="00B071BB"/>
    <w:rsid w:val="00B11BA2"/>
    <w:rsid w:val="00B471FA"/>
    <w:rsid w:val="00B66356"/>
    <w:rsid w:val="00B81070"/>
    <w:rsid w:val="00BB30FD"/>
    <w:rsid w:val="00BB50BE"/>
    <w:rsid w:val="00BE0853"/>
    <w:rsid w:val="00BE0DBD"/>
    <w:rsid w:val="00C27194"/>
    <w:rsid w:val="00C314DD"/>
    <w:rsid w:val="00C56AF0"/>
    <w:rsid w:val="00C66B09"/>
    <w:rsid w:val="00C926F8"/>
    <w:rsid w:val="00CB2B13"/>
    <w:rsid w:val="00CB35E9"/>
    <w:rsid w:val="00CD55C1"/>
    <w:rsid w:val="00CF65FC"/>
    <w:rsid w:val="00CF6AFB"/>
    <w:rsid w:val="00D14914"/>
    <w:rsid w:val="00D53845"/>
    <w:rsid w:val="00D6273B"/>
    <w:rsid w:val="00DD59CD"/>
    <w:rsid w:val="00DE0F47"/>
    <w:rsid w:val="00DE1463"/>
    <w:rsid w:val="00E51C5B"/>
    <w:rsid w:val="00E51E4A"/>
    <w:rsid w:val="00E57F1A"/>
    <w:rsid w:val="00E77629"/>
    <w:rsid w:val="00E8582A"/>
    <w:rsid w:val="00ED49D0"/>
    <w:rsid w:val="00F00175"/>
    <w:rsid w:val="00F560F9"/>
    <w:rsid w:val="00F56796"/>
    <w:rsid w:val="00F66614"/>
    <w:rsid w:val="00F74DC8"/>
    <w:rsid w:val="00F770A1"/>
    <w:rsid w:val="00FA093C"/>
    <w:rsid w:val="00FA1FE6"/>
    <w:rsid w:val="00FA4923"/>
    <w:rsid w:val="00FF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AE8C"/>
  <w15:chartTrackingRefBased/>
  <w15:docId w15:val="{032DD709-F63F-4B8B-A3D0-5E0D873F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0D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C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F6AFB"/>
    <w:pPr>
      <w:numPr>
        <w:numId w:val="6"/>
      </w:numPr>
    </w:pPr>
  </w:style>
  <w:style w:type="paragraph" w:styleId="ListParagraph">
    <w:name w:val="List Paragraph"/>
    <w:basedOn w:val="Normal"/>
    <w:uiPriority w:val="34"/>
    <w:qFormat/>
    <w:rsid w:val="00CF6AFB"/>
    <w:pPr>
      <w:spacing w:after="200" w:line="276" w:lineRule="auto"/>
      <w:ind w:left="720"/>
      <w:contextualSpacing/>
    </w:pPr>
  </w:style>
  <w:style w:type="paragraph" w:customStyle="1" w:styleId="Bullet2">
    <w:name w:val="Bullet 2"/>
    <w:basedOn w:val="Normal"/>
    <w:qFormat/>
    <w:rsid w:val="00CF6AFB"/>
    <w:pPr>
      <w:numPr>
        <w:numId w:val="7"/>
      </w:numPr>
      <w:spacing w:after="120" w:line="240" w:lineRule="auto"/>
      <w:contextualSpacing/>
    </w:pPr>
    <w:rPr>
      <w:rFonts w:ascii="Gill Sans MT" w:hAnsi="Gill Sans MT"/>
      <w:color w:val="000000" w:themeColor="text1"/>
    </w:rPr>
  </w:style>
  <w:style w:type="paragraph" w:styleId="Header">
    <w:name w:val="header"/>
    <w:basedOn w:val="Normal"/>
    <w:link w:val="HeaderChar"/>
    <w:uiPriority w:val="99"/>
    <w:unhideWhenUsed/>
    <w:rsid w:val="00BE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DBD"/>
  </w:style>
  <w:style w:type="paragraph" w:styleId="Footer">
    <w:name w:val="footer"/>
    <w:basedOn w:val="Normal"/>
    <w:link w:val="FooterChar"/>
    <w:uiPriority w:val="99"/>
    <w:unhideWhenUsed/>
    <w:rsid w:val="00BE0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46F6BCC9A4245BC1B94CA0745EDB4" ma:contentTypeVersion="4" ma:contentTypeDescription="Create a new document." ma:contentTypeScope="" ma:versionID="350480ec7841e05a62fe3edb7d935b88">
  <xsd:schema xmlns:xsd="http://www.w3.org/2001/XMLSchema" xmlns:xs="http://www.w3.org/2001/XMLSchema" xmlns:p="http://schemas.microsoft.com/office/2006/metadata/properties" xmlns:ns2="24c06a6d-8939-447b-bd41-eba6a925312b" targetNamespace="http://schemas.microsoft.com/office/2006/metadata/properties" ma:root="true" ma:fieldsID="12891c4ed0f34701be9de7282d9b7a5c" ns2:_="">
    <xsd:import namespace="24c06a6d-8939-447b-bd41-eba6a9253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06a6d-8939-447b-bd41-eba6a9253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E1C22-6150-4995-85D2-F1C5FA9E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06a6d-8939-447b-bd41-eba6a9253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E657F-CB44-4207-AACE-DA1424AC5B76}">
  <ds:schemaRefs>
    <ds:schemaRef ds:uri="http://schemas.microsoft.com/sharepoint/v3/contenttype/forms"/>
  </ds:schemaRefs>
</ds:datastoreItem>
</file>

<file path=customXml/itemProps3.xml><?xml version="1.0" encoding="utf-8"?>
<ds:datastoreItem xmlns:ds="http://schemas.openxmlformats.org/officeDocument/2006/customXml" ds:itemID="{88978659-2EBD-4D5A-8A08-8CABACBAEE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TST - Jo Redfern</cp:lastModifiedBy>
  <cp:revision>12</cp:revision>
  <dcterms:created xsi:type="dcterms:W3CDTF">2025-10-30T15:55:00Z</dcterms:created>
  <dcterms:modified xsi:type="dcterms:W3CDTF">2025-10-30T16:17:00Z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0x01010055B46F6BCC9A4245BC1B94CA0745EDB4</vt:lpwstr>
  </property>
</Properties>
</file>